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78D00" w14:textId="4892A0AB" w:rsidR="009F7488" w:rsidRDefault="00A849C6" w:rsidP="00A849C6">
      <w:pPr>
        <w:jc w:val="center"/>
      </w:pPr>
      <w:r>
        <w:rPr>
          <w:noProof/>
        </w:rPr>
        <w:drawing>
          <wp:inline distT="0" distB="0" distL="0" distR="0" wp14:anchorId="459AC9E5" wp14:editId="2B6DC016">
            <wp:extent cx="619125" cy="908364"/>
            <wp:effectExtent l="0" t="0" r="0"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9595" cy="923725"/>
                    </a:xfrm>
                    <a:prstGeom prst="rect">
                      <a:avLst/>
                    </a:prstGeom>
                    <a:noFill/>
                    <a:ln>
                      <a:noFill/>
                    </a:ln>
                  </pic:spPr>
                </pic:pic>
              </a:graphicData>
            </a:graphic>
          </wp:inline>
        </w:drawing>
      </w:r>
    </w:p>
    <w:p w14:paraId="0E2DBF80" w14:textId="66670C1F" w:rsidR="004666F1" w:rsidRDefault="004666F1" w:rsidP="004666F1">
      <w:pPr>
        <w:jc w:val="center"/>
        <w:rPr>
          <w:rFonts w:ascii="Times New Roman" w:hAnsi="Times New Roman" w:cs="Times New Roman"/>
          <w:b/>
          <w:bCs/>
          <w:sz w:val="22"/>
        </w:rPr>
      </w:pPr>
      <w:r w:rsidRPr="00442753">
        <w:rPr>
          <w:rFonts w:ascii="Times New Roman" w:hAnsi="Times New Roman" w:cs="Times New Roman"/>
          <w:b/>
          <w:bCs/>
          <w:sz w:val="22"/>
        </w:rPr>
        <w:t>PRIMA NOTA  RIEPILOGATIVA MISURE PNRR ISTRUZIONE</w:t>
      </w:r>
    </w:p>
    <w:p w14:paraId="1A48F853" w14:textId="2CB47773" w:rsidR="00536B98" w:rsidRPr="00442753" w:rsidRDefault="00755F40" w:rsidP="004666F1">
      <w:pPr>
        <w:jc w:val="center"/>
        <w:rPr>
          <w:rFonts w:ascii="Times New Roman" w:hAnsi="Times New Roman" w:cs="Times New Roman"/>
          <w:b/>
          <w:bCs/>
          <w:sz w:val="22"/>
        </w:rPr>
      </w:pPr>
      <w:r>
        <w:rPr>
          <w:rFonts w:ascii="Times New Roman" w:hAnsi="Times New Roman" w:cs="Times New Roman"/>
          <w:b/>
          <w:bCs/>
          <w:sz w:val="22"/>
        </w:rPr>
        <w:t>(</w:t>
      </w:r>
      <w:r w:rsidR="00B06954">
        <w:rPr>
          <w:rFonts w:ascii="Times New Roman" w:hAnsi="Times New Roman" w:cs="Times New Roman"/>
          <w:b/>
          <w:bCs/>
          <w:sz w:val="22"/>
        </w:rPr>
        <w:t>aggiornata al 6 dicembre 2021)</w:t>
      </w:r>
    </w:p>
    <w:p w14:paraId="1AECD30E" w14:textId="4420F3D7" w:rsidR="004666F1" w:rsidRPr="00442753" w:rsidRDefault="004666F1" w:rsidP="004666F1">
      <w:pPr>
        <w:spacing w:after="0"/>
        <w:jc w:val="both"/>
        <w:rPr>
          <w:rFonts w:ascii="Times New Roman" w:hAnsi="Times New Roman" w:cs="Times New Roman"/>
          <w:b/>
          <w:bCs/>
          <w:sz w:val="22"/>
        </w:rPr>
      </w:pPr>
      <w:r w:rsidRPr="00442753">
        <w:rPr>
          <w:rFonts w:ascii="Times New Roman" w:hAnsi="Times New Roman" w:cs="Times New Roman"/>
          <w:sz w:val="22"/>
        </w:rPr>
        <w:t xml:space="preserve">Il Ministero dell’Istruzione, ha emanato  il  decreto  “per la  definizione dei criteri di riparto,  su base regionale, delle risorse  del Piano  nazionale  di ripresa  e resilienza e  delle modalità di individuazione degli interventi di edilizia  scolastica”,  che  è in  registrazione  alla Corte dei Conti, e </w:t>
      </w:r>
      <w:r w:rsidR="00F86AB0">
        <w:rPr>
          <w:rFonts w:ascii="Times New Roman" w:hAnsi="Times New Roman" w:cs="Times New Roman"/>
          <w:sz w:val="22"/>
        </w:rPr>
        <w:t>ha pubblicato gli</w:t>
      </w:r>
      <w:r w:rsidRPr="00442753">
        <w:rPr>
          <w:rFonts w:ascii="Times New Roman" w:hAnsi="Times New Roman" w:cs="Times New Roman"/>
          <w:sz w:val="22"/>
        </w:rPr>
        <w:t xml:space="preserve"> avvisi e relativi allegati</w:t>
      </w:r>
      <w:r w:rsidRPr="00442753">
        <w:rPr>
          <w:rFonts w:ascii="Times New Roman" w:hAnsi="Times New Roman" w:cs="Times New Roman"/>
          <w:b/>
          <w:bCs/>
          <w:sz w:val="22"/>
        </w:rPr>
        <w:t xml:space="preserve"> </w:t>
      </w:r>
      <w:hyperlink r:id="rId6" w:history="1">
        <w:r w:rsidRPr="00442753">
          <w:rPr>
            <w:rStyle w:val="Collegamentoipertestuale"/>
            <w:rFonts w:ascii="Times New Roman" w:hAnsi="Times New Roman" w:cs="Times New Roman"/>
            <w:sz w:val="22"/>
          </w:rPr>
          <w:t>https://pnrr.istruzione.it/avvisi/</w:t>
        </w:r>
      </w:hyperlink>
    </w:p>
    <w:p w14:paraId="0A69792F" w14:textId="519E9E6C" w:rsidR="004666F1" w:rsidRDefault="004666F1" w:rsidP="004666F1">
      <w:pPr>
        <w:spacing w:after="0" w:line="276" w:lineRule="auto"/>
        <w:jc w:val="both"/>
        <w:rPr>
          <w:rFonts w:ascii="Times New Roman" w:eastAsia="Times New Roman" w:hAnsi="Times New Roman" w:cs="Times New Roman"/>
          <w:color w:val="000000"/>
          <w:sz w:val="22"/>
          <w:lang w:eastAsia="it-IT"/>
        </w:rPr>
      </w:pPr>
      <w:r w:rsidRPr="00442753">
        <w:rPr>
          <w:rFonts w:ascii="Times New Roman" w:eastAsia="Times New Roman" w:hAnsi="Times New Roman" w:cs="Times New Roman"/>
          <w:color w:val="000000"/>
          <w:sz w:val="22"/>
          <w:lang w:eastAsia="it-IT"/>
        </w:rPr>
        <w:t>Si tratta di risorse importanti, per un investimento  complessivo  pari  a  5,2 mld, assegnate direttamente agli  enti  locali, per misure strategiche finalizzate alla riqualificazione del patrimonio  scolastico e realizzazione  di scuole innovative ed  efficienti; alla riduzione del Gap nei  servizi  educativi  e per l’incremento dei posti  disponibili; per l’estensione del tempo  pieno  e  della pratica sportiva nelle scuole attraverso il potenziamento di mense e palestre  scolastiche. Importante il lavoro svolto dall’ANCI con il Ministero dell’Istruzione per ridurre i passaggi e  snellire  le procedure, attraverso l’erogazione diretta delle risorse  agli  enti locali con  l’emanazione  da parte  del  ministero dell’istruzione di bandi nazionali  rivolti a Comuni, Città Metropolitane e Province, enti proprietari degli edifici scolastici e diretti attuatori degli interventi.</w:t>
      </w:r>
    </w:p>
    <w:p w14:paraId="4D307B4A" w14:textId="77777777" w:rsidR="004666F1" w:rsidRPr="00442753" w:rsidRDefault="004666F1" w:rsidP="004666F1">
      <w:pPr>
        <w:spacing w:after="0" w:line="276" w:lineRule="auto"/>
        <w:jc w:val="both"/>
        <w:rPr>
          <w:rFonts w:ascii="Times New Roman" w:eastAsia="Times New Roman" w:hAnsi="Times New Roman" w:cs="Times New Roman"/>
          <w:color w:val="000000"/>
          <w:sz w:val="22"/>
          <w:lang w:eastAsia="it-IT"/>
        </w:rPr>
      </w:pPr>
    </w:p>
    <w:p w14:paraId="0B5AC34A" w14:textId="77777777" w:rsidR="004666F1" w:rsidRPr="00442753" w:rsidRDefault="004666F1" w:rsidP="004666F1">
      <w:pPr>
        <w:spacing w:after="0" w:line="276" w:lineRule="auto"/>
        <w:jc w:val="both"/>
        <w:rPr>
          <w:rFonts w:ascii="Times New Roman" w:hAnsi="Times New Roman" w:cs="Times New Roman"/>
          <w:sz w:val="22"/>
        </w:rPr>
      </w:pPr>
      <w:r w:rsidRPr="00442753">
        <w:rPr>
          <w:rFonts w:ascii="Times New Roman" w:eastAsia="Times New Roman" w:hAnsi="Times New Roman" w:cs="Times New Roman"/>
          <w:b/>
          <w:bCs/>
          <w:color w:val="000000"/>
          <w:sz w:val="22"/>
          <w:u w:val="single"/>
          <w:lang w:eastAsia="it-IT"/>
        </w:rPr>
        <w:t>Le  misure  previste</w:t>
      </w:r>
      <w:r w:rsidRPr="00442753">
        <w:rPr>
          <w:rFonts w:ascii="Times New Roman" w:eastAsia="Times New Roman" w:hAnsi="Times New Roman" w:cs="Times New Roman"/>
          <w:color w:val="000000"/>
          <w:sz w:val="22"/>
          <w:lang w:eastAsia="it-IT"/>
        </w:rPr>
        <w:t xml:space="preserve">: </w:t>
      </w:r>
    </w:p>
    <w:p w14:paraId="34029EBD" w14:textId="17920138" w:rsidR="004666F1" w:rsidRPr="00442753" w:rsidRDefault="004666F1" w:rsidP="004666F1">
      <w:pPr>
        <w:spacing w:after="0"/>
        <w:rPr>
          <w:rFonts w:ascii="Times New Roman" w:hAnsi="Times New Roman" w:cs="Times New Roman"/>
          <w:sz w:val="22"/>
        </w:rPr>
      </w:pPr>
      <w:r w:rsidRPr="00442753">
        <w:rPr>
          <w:rFonts w:ascii="Times New Roman" w:hAnsi="Times New Roman" w:cs="Times New Roman"/>
          <w:sz w:val="22"/>
        </w:rPr>
        <w:t xml:space="preserve">- Piano sostituzione  edifici  scolastici  e riqualificazione  energetica - € 800 milioni </w:t>
      </w:r>
      <w:r w:rsidR="002D1C6D">
        <w:rPr>
          <w:rFonts w:ascii="Times New Roman" w:hAnsi="Times New Roman" w:cs="Times New Roman"/>
          <w:sz w:val="22"/>
        </w:rPr>
        <w:t>– Avviso pubblico</w:t>
      </w:r>
    </w:p>
    <w:p w14:paraId="63907C9E" w14:textId="1E866866" w:rsidR="004666F1" w:rsidRPr="00442753" w:rsidRDefault="004666F1" w:rsidP="004666F1">
      <w:pPr>
        <w:spacing w:after="0"/>
        <w:rPr>
          <w:rFonts w:ascii="Times New Roman" w:hAnsi="Times New Roman" w:cs="Times New Roman"/>
          <w:sz w:val="22"/>
        </w:rPr>
      </w:pPr>
      <w:r w:rsidRPr="00442753">
        <w:rPr>
          <w:rFonts w:ascii="Times New Roman" w:hAnsi="Times New Roman" w:cs="Times New Roman"/>
          <w:sz w:val="22"/>
        </w:rPr>
        <w:t>- Piano  asili nido  e  scuole dell’infanzia - € 3 miliardi</w:t>
      </w:r>
      <w:r w:rsidR="002D1C6D">
        <w:rPr>
          <w:rFonts w:ascii="Times New Roman" w:hAnsi="Times New Roman" w:cs="Times New Roman"/>
          <w:sz w:val="22"/>
        </w:rPr>
        <w:t xml:space="preserve"> – Avviso pubblico</w:t>
      </w:r>
    </w:p>
    <w:p w14:paraId="3909AFF0" w14:textId="6BB1CAF3" w:rsidR="004666F1" w:rsidRPr="00442753" w:rsidRDefault="004666F1" w:rsidP="004666F1">
      <w:pPr>
        <w:spacing w:after="0"/>
        <w:rPr>
          <w:rFonts w:ascii="Times New Roman" w:hAnsi="Times New Roman" w:cs="Times New Roman"/>
          <w:sz w:val="22"/>
        </w:rPr>
      </w:pPr>
      <w:r w:rsidRPr="00442753">
        <w:rPr>
          <w:rFonts w:ascii="Times New Roman" w:hAnsi="Times New Roman" w:cs="Times New Roman"/>
          <w:sz w:val="22"/>
        </w:rPr>
        <w:t>- Piano  estensione  tempo  pieno e mense - € 400 milioni</w:t>
      </w:r>
      <w:r w:rsidR="002D1C6D">
        <w:rPr>
          <w:rFonts w:ascii="Times New Roman" w:hAnsi="Times New Roman" w:cs="Times New Roman"/>
          <w:sz w:val="22"/>
        </w:rPr>
        <w:t xml:space="preserve"> – Avviso pubblico</w:t>
      </w:r>
    </w:p>
    <w:p w14:paraId="43AF4B4D" w14:textId="2EDB90F6" w:rsidR="004666F1" w:rsidRPr="00442753" w:rsidRDefault="004666F1" w:rsidP="004666F1">
      <w:pPr>
        <w:spacing w:after="0"/>
        <w:rPr>
          <w:rFonts w:ascii="Times New Roman" w:hAnsi="Times New Roman" w:cs="Times New Roman"/>
          <w:sz w:val="22"/>
        </w:rPr>
      </w:pPr>
      <w:r w:rsidRPr="00442753">
        <w:rPr>
          <w:rFonts w:ascii="Times New Roman" w:hAnsi="Times New Roman" w:cs="Times New Roman"/>
          <w:sz w:val="22"/>
        </w:rPr>
        <w:t>- Piano per  le infrastrutture   nelle scuole - € 300 milioni</w:t>
      </w:r>
      <w:r w:rsidR="002D1C6D">
        <w:rPr>
          <w:rFonts w:ascii="Times New Roman" w:hAnsi="Times New Roman" w:cs="Times New Roman"/>
          <w:sz w:val="22"/>
        </w:rPr>
        <w:t xml:space="preserve"> – Avviso pubblico</w:t>
      </w:r>
    </w:p>
    <w:p w14:paraId="36E89CE5" w14:textId="77777777" w:rsidR="004666F1" w:rsidRPr="00442753" w:rsidRDefault="004666F1" w:rsidP="004666F1">
      <w:pPr>
        <w:spacing w:after="0"/>
        <w:rPr>
          <w:rFonts w:ascii="Times New Roman" w:hAnsi="Times New Roman" w:cs="Times New Roman"/>
          <w:sz w:val="22"/>
        </w:rPr>
      </w:pPr>
      <w:r w:rsidRPr="00442753">
        <w:rPr>
          <w:rFonts w:ascii="Times New Roman" w:hAnsi="Times New Roman" w:cs="Times New Roman"/>
          <w:sz w:val="22"/>
        </w:rPr>
        <w:t>- Messa in sicurezza e riqualificazione scuole - € 500 milioni. Gli interventi finanziati  saranno individuati  attraverso  la  programmazione regionale.</w:t>
      </w:r>
    </w:p>
    <w:p w14:paraId="317EE5A8" w14:textId="77777777" w:rsidR="004666F1" w:rsidRDefault="004666F1" w:rsidP="004666F1">
      <w:pPr>
        <w:spacing w:after="0"/>
        <w:rPr>
          <w:rFonts w:ascii="Times New Roman" w:hAnsi="Times New Roman" w:cs="Times New Roman"/>
          <w:sz w:val="22"/>
        </w:rPr>
      </w:pPr>
      <w:r w:rsidRPr="00442753">
        <w:rPr>
          <w:rFonts w:ascii="Times New Roman" w:hAnsi="Times New Roman" w:cs="Times New Roman"/>
          <w:sz w:val="22"/>
        </w:rPr>
        <w:t>Per  tutte  le  misure è prevista una riserva di almeno il 40% delle  risorse per gli enti locali delle regioni del Sud.</w:t>
      </w:r>
    </w:p>
    <w:p w14:paraId="14CE29A6" w14:textId="07CBD389" w:rsidR="004666F1" w:rsidRPr="00442753" w:rsidRDefault="004666F1" w:rsidP="004666F1">
      <w:pPr>
        <w:spacing w:after="0"/>
        <w:rPr>
          <w:rFonts w:ascii="Times New Roman" w:hAnsi="Times New Roman" w:cs="Times New Roman"/>
          <w:sz w:val="22"/>
        </w:rPr>
      </w:pPr>
      <w:r w:rsidRPr="00442753">
        <w:rPr>
          <w:rFonts w:ascii="Times New Roman" w:hAnsi="Times New Roman" w:cs="Times New Roman"/>
          <w:sz w:val="22"/>
        </w:rPr>
        <w:t>Prevista la pubblicazione delle graduatorie  degli interventi  ammessi, da parte del ministero dell’istruzione,  entro marzo  2022.</w:t>
      </w:r>
    </w:p>
    <w:p w14:paraId="4420745C" w14:textId="77777777" w:rsidR="004666F1" w:rsidRPr="00442753" w:rsidRDefault="004666F1" w:rsidP="004666F1">
      <w:pPr>
        <w:pStyle w:val="Default"/>
        <w:jc w:val="both"/>
        <w:rPr>
          <w:sz w:val="22"/>
          <w:szCs w:val="22"/>
        </w:rPr>
      </w:pPr>
      <w:r w:rsidRPr="00442753">
        <w:rPr>
          <w:sz w:val="22"/>
          <w:szCs w:val="22"/>
        </w:rPr>
        <w:t>Per il riparto delle risorse, a livello  regionale, si è tenuto conto del trend della popolazione scolastica (dati ultimi 5 anni) e delle situazioni infrastrutturali specifiche (gap infrastrutturale) rispetto alla media nazionale. Per l’avviso su asili nido e  scuole infanzia si è anche tenuto conto:</w:t>
      </w:r>
    </w:p>
    <w:p w14:paraId="677CA25B" w14:textId="795E97D1" w:rsidR="004666F1" w:rsidRPr="00442753" w:rsidRDefault="004666F1" w:rsidP="004666F1">
      <w:pPr>
        <w:pStyle w:val="Default"/>
        <w:adjustRightInd/>
        <w:jc w:val="both"/>
        <w:rPr>
          <w:sz w:val="22"/>
          <w:szCs w:val="22"/>
        </w:rPr>
      </w:pPr>
      <w:r>
        <w:rPr>
          <w:sz w:val="22"/>
          <w:szCs w:val="22"/>
        </w:rPr>
        <w:t xml:space="preserve">      -</w:t>
      </w:r>
      <w:r w:rsidRPr="00442753">
        <w:rPr>
          <w:sz w:val="22"/>
          <w:szCs w:val="22"/>
        </w:rPr>
        <w:t xml:space="preserve">del  gap nei servizi relativi  alla  fascia ( 0/3 inteso sia come numero di posti sia come percentuale di comuni coperti dal servizio per asili nido)      </w:t>
      </w:r>
    </w:p>
    <w:p w14:paraId="336D5B8B" w14:textId="3CF3276F" w:rsidR="004666F1" w:rsidRDefault="004666F1" w:rsidP="004666F1">
      <w:pPr>
        <w:pStyle w:val="Default"/>
        <w:adjustRightInd/>
        <w:jc w:val="both"/>
        <w:rPr>
          <w:sz w:val="22"/>
          <w:szCs w:val="22"/>
        </w:rPr>
      </w:pPr>
      <w:r>
        <w:rPr>
          <w:sz w:val="22"/>
          <w:szCs w:val="22"/>
        </w:rPr>
        <w:t xml:space="preserve">      -</w:t>
      </w:r>
      <w:r w:rsidRPr="00442753">
        <w:rPr>
          <w:sz w:val="22"/>
          <w:szCs w:val="22"/>
        </w:rPr>
        <w:t>del numero attuale di scuole infanzia.</w:t>
      </w:r>
    </w:p>
    <w:p w14:paraId="573CA690" w14:textId="77777777" w:rsidR="004666F1" w:rsidRPr="00442753" w:rsidRDefault="004666F1" w:rsidP="004666F1">
      <w:pPr>
        <w:pStyle w:val="Default"/>
        <w:adjustRightInd/>
        <w:jc w:val="both"/>
        <w:rPr>
          <w:sz w:val="22"/>
          <w:szCs w:val="22"/>
        </w:rPr>
      </w:pPr>
    </w:p>
    <w:p w14:paraId="055DBF36" w14:textId="70163649" w:rsidR="004666F1" w:rsidRPr="005D0F15" w:rsidRDefault="004666F1" w:rsidP="004666F1">
      <w:pPr>
        <w:pStyle w:val="Default"/>
        <w:adjustRightInd/>
        <w:jc w:val="both"/>
        <w:rPr>
          <w:sz w:val="22"/>
          <w:szCs w:val="22"/>
        </w:rPr>
      </w:pPr>
      <w:r w:rsidRPr="005D0F15">
        <w:rPr>
          <w:sz w:val="22"/>
          <w:szCs w:val="22"/>
        </w:rPr>
        <w:t>Per garantire la completa assegnazione di tutte le risorse disponibili, è previsto che, laddove in una Regione residuino risorse perché superiori al fabbisogno espresso, queste andranno a finanziare i progetti che</w:t>
      </w:r>
      <w:r w:rsidR="00F95643">
        <w:rPr>
          <w:sz w:val="22"/>
          <w:szCs w:val="22"/>
        </w:rPr>
        <w:t xml:space="preserve"> </w:t>
      </w:r>
      <w:r w:rsidR="00184E65">
        <w:rPr>
          <w:sz w:val="22"/>
          <w:szCs w:val="22"/>
        </w:rPr>
        <w:t>su base nazionale hanno ottenuto i punteggi più alti in valore assoluto</w:t>
      </w:r>
      <w:r w:rsidRPr="005D0F15">
        <w:rPr>
          <w:sz w:val="22"/>
          <w:szCs w:val="22"/>
        </w:rPr>
        <w:t>, nel rispetto della percentuale del 40% riservata alle regioni del Mezzogiorno. Per affiancare gli enti locali nella fase di presentazione dei progetti il Ministero sta siglando convenzioni con Cassa Depositi e Prestiti, Consip, Autorità nazionale anticorruzione, Sogei, G</w:t>
      </w:r>
      <w:r w:rsidR="00C9703F">
        <w:rPr>
          <w:sz w:val="22"/>
          <w:szCs w:val="22"/>
        </w:rPr>
        <w:t>SE</w:t>
      </w:r>
      <w:r w:rsidRPr="005D0F15">
        <w:rPr>
          <w:sz w:val="22"/>
          <w:szCs w:val="22"/>
        </w:rPr>
        <w:t xml:space="preserve">. Inoltre è previsto l’ampliamento del numero dei tecnici della Task force dell’Agenzia di coesione territoriale sull’edilizia scolastica per il supporto organizzativo. Il Ministero ha previsto servizi di assistenza tecnico/amministrativa per gli Enti Locali sia nella fase di candidatura sia nella fase di attuazione degli interventi, attraverso il sito </w:t>
      </w:r>
      <w:hyperlink r:id="rId7" w:history="1">
        <w:r w:rsidRPr="005D0F15">
          <w:rPr>
            <w:rStyle w:val="Collegamentoipertestuale"/>
            <w:sz w:val="22"/>
            <w:szCs w:val="22"/>
          </w:rPr>
          <w:t>pnrr.ediliziascolastica@istruzione.it</w:t>
        </w:r>
      </w:hyperlink>
      <w:r w:rsidRPr="005D0F15">
        <w:rPr>
          <w:sz w:val="22"/>
          <w:szCs w:val="22"/>
        </w:rPr>
        <w:t xml:space="preserve"> e contatti telefonici dedicati.</w:t>
      </w:r>
    </w:p>
    <w:p w14:paraId="787D3AAE" w14:textId="10B17919" w:rsidR="004666F1" w:rsidRPr="005D0F15" w:rsidRDefault="004666F1" w:rsidP="004666F1">
      <w:pPr>
        <w:pStyle w:val="Default"/>
        <w:adjustRightInd/>
        <w:jc w:val="both"/>
        <w:rPr>
          <w:sz w:val="22"/>
          <w:szCs w:val="22"/>
        </w:rPr>
      </w:pPr>
      <w:r w:rsidRPr="005D0F15">
        <w:rPr>
          <w:sz w:val="22"/>
          <w:szCs w:val="22"/>
        </w:rPr>
        <w:t>Saranno organizzati anche in collaborazione con ANCI, webinar informativi al fine di fornire informazioni dettagliate per la presentazione de</w:t>
      </w:r>
      <w:r w:rsidR="00BF4A73">
        <w:rPr>
          <w:sz w:val="22"/>
          <w:szCs w:val="22"/>
        </w:rPr>
        <w:t>gli avvisi</w:t>
      </w:r>
      <w:r w:rsidRPr="005D0F15">
        <w:rPr>
          <w:sz w:val="22"/>
          <w:szCs w:val="22"/>
        </w:rPr>
        <w:t>. Sul sito dell’ANCI è presente un banner dedicato alle misure del PNRR.</w:t>
      </w:r>
    </w:p>
    <w:p w14:paraId="3B6433CD" w14:textId="77777777" w:rsidR="004666F1" w:rsidRPr="00382B5B" w:rsidRDefault="004666F1" w:rsidP="004666F1">
      <w:pPr>
        <w:jc w:val="center"/>
        <w:rPr>
          <w:b/>
          <w:bCs/>
          <w:szCs w:val="24"/>
        </w:rPr>
      </w:pPr>
    </w:p>
    <w:tbl>
      <w:tblPr>
        <w:tblStyle w:val="Grigliatabella"/>
        <w:tblpPr w:leftFromText="141" w:rightFromText="141" w:horzAnchor="margin" w:tblpY="532"/>
        <w:tblW w:w="0" w:type="auto"/>
        <w:tblLook w:val="04A0" w:firstRow="1" w:lastRow="0" w:firstColumn="1" w:lastColumn="0" w:noHBand="0" w:noVBand="1"/>
      </w:tblPr>
      <w:tblGrid>
        <w:gridCol w:w="9628"/>
      </w:tblGrid>
      <w:tr w:rsidR="004666F1" w:rsidRPr="00382B5B" w14:paraId="17AEE1CB" w14:textId="77777777" w:rsidTr="00792A57">
        <w:tc>
          <w:tcPr>
            <w:tcW w:w="9968" w:type="dxa"/>
          </w:tcPr>
          <w:p w14:paraId="0E24217B" w14:textId="77777777" w:rsidR="004666F1" w:rsidRPr="00382B5B" w:rsidRDefault="004666F1" w:rsidP="00792A57">
            <w:pPr>
              <w:pStyle w:val="Default"/>
              <w:rPr>
                <w:rFonts w:ascii="Bookman Old Style" w:hAnsi="Bookman Old Style"/>
                <w:b/>
                <w:bCs/>
                <w:u w:val="single"/>
              </w:rPr>
            </w:pPr>
            <w:bookmarkStart w:id="0" w:name="_Hlk89430618"/>
            <w:r w:rsidRPr="00382B5B">
              <w:rPr>
                <w:rFonts w:ascii="Bookman Old Style" w:hAnsi="Bookman Old Style"/>
                <w:b/>
                <w:bCs/>
                <w:u w:val="single"/>
              </w:rPr>
              <w:t xml:space="preserve">1) Piano sostituzione edifici scolastici e di riqualificazione energetica (scuole nuove)  </w:t>
            </w:r>
          </w:p>
          <w:p w14:paraId="1B2535A4" w14:textId="77777777" w:rsidR="004666F1" w:rsidRPr="00382B5B" w:rsidRDefault="004666F1" w:rsidP="00792A57">
            <w:pPr>
              <w:pStyle w:val="Default"/>
              <w:jc w:val="both"/>
              <w:rPr>
                <w:rFonts w:ascii="Bookman Old Style" w:hAnsi="Bookman Old Style"/>
                <w:b/>
                <w:bCs/>
                <w:u w:val="single"/>
              </w:rPr>
            </w:pPr>
            <w:r w:rsidRPr="00382B5B">
              <w:rPr>
                <w:rFonts w:ascii="Bookman Old Style" w:hAnsi="Bookman Old Style"/>
                <w:b/>
                <w:bCs/>
                <w:u w:val="single"/>
              </w:rPr>
              <w:t>Avviso  pubblico:  candidature  entro  8 febbraio  2022</w:t>
            </w:r>
          </w:p>
          <w:p w14:paraId="7D8792C4" w14:textId="0D6051A2" w:rsidR="004666F1" w:rsidRPr="00382B5B" w:rsidRDefault="004666F1" w:rsidP="00792A57">
            <w:pPr>
              <w:pStyle w:val="Default"/>
              <w:jc w:val="both"/>
              <w:rPr>
                <w:rFonts w:ascii="Bookman Old Style" w:hAnsi="Bookman Old Style"/>
              </w:rPr>
            </w:pPr>
            <w:r w:rsidRPr="00382B5B">
              <w:rPr>
                <w:rFonts w:ascii="Bookman Old Style" w:hAnsi="Bookman Old Style"/>
              </w:rPr>
              <w:t>Aggiudicazione lavori entro il 20 settembre 2023 e conclusione entro e non oltre 31 marzo 2026</w:t>
            </w:r>
            <w:r w:rsidR="00A75243">
              <w:rPr>
                <w:rFonts w:ascii="Bookman Old Style" w:hAnsi="Bookman Old Style"/>
              </w:rPr>
              <w:t>.</w:t>
            </w:r>
            <w:r w:rsidRPr="00382B5B">
              <w:rPr>
                <w:rFonts w:ascii="Bookman Old Style" w:hAnsi="Bookman Old Style"/>
              </w:rPr>
              <w:t xml:space="preserve"> </w:t>
            </w:r>
          </w:p>
          <w:p w14:paraId="55166043" w14:textId="77777777" w:rsidR="004666F1" w:rsidRPr="00382B5B" w:rsidRDefault="004666F1" w:rsidP="00792A57">
            <w:pPr>
              <w:pStyle w:val="Default"/>
              <w:jc w:val="both"/>
              <w:rPr>
                <w:rFonts w:ascii="Bookman Old Style" w:hAnsi="Bookman Old Style"/>
              </w:rPr>
            </w:pPr>
          </w:p>
          <w:p w14:paraId="5677DC4E" w14:textId="77777777" w:rsidR="004666F1" w:rsidRPr="00382B5B" w:rsidRDefault="004666F1" w:rsidP="00792A57">
            <w:pPr>
              <w:pStyle w:val="Default"/>
              <w:jc w:val="both"/>
              <w:rPr>
                <w:rFonts w:ascii="Bookman Old Style" w:hAnsi="Bookman Old Style"/>
              </w:rPr>
            </w:pPr>
            <w:r w:rsidRPr="00382B5B">
              <w:rPr>
                <w:rFonts w:ascii="Bookman Old Style" w:hAnsi="Bookman Old Style"/>
                <w:b/>
                <w:bCs/>
              </w:rPr>
              <w:t xml:space="preserve">- 800 milioni di euro </w:t>
            </w:r>
            <w:r w:rsidRPr="00382B5B">
              <w:rPr>
                <w:rFonts w:ascii="Bookman Old Style" w:hAnsi="Bookman Old Style"/>
              </w:rPr>
              <w:t xml:space="preserve">finalizzati alla  sostituzione  di  parte del patrimonio edilizio scolastico obsoleto per creare nuove strutture sostenibili con il massimo dell’efficienza energetica e per garantire la didattica con metodologie innovative (riduzione consumi emissioni inquinanti, aumento sicurezza sismica e sviluppo aree verdi). Il Piano intende intervenire su circa 195 edifici con una riduzione del consumo di energia di almeno il 50%. </w:t>
            </w:r>
          </w:p>
          <w:p w14:paraId="4F4B80BD" w14:textId="77777777" w:rsidR="004666F1" w:rsidRPr="00382B5B" w:rsidRDefault="004666F1" w:rsidP="00792A57">
            <w:pPr>
              <w:pStyle w:val="Default"/>
              <w:jc w:val="both"/>
              <w:rPr>
                <w:rFonts w:ascii="Bookman Old Style" w:hAnsi="Bookman Old Style"/>
              </w:rPr>
            </w:pPr>
          </w:p>
          <w:p w14:paraId="1E96BBC9" w14:textId="77777777" w:rsidR="004666F1" w:rsidRPr="00382B5B" w:rsidRDefault="004666F1" w:rsidP="00792A57">
            <w:pPr>
              <w:pStyle w:val="Default"/>
              <w:jc w:val="both"/>
              <w:rPr>
                <w:rFonts w:ascii="Bookman Old Style" w:hAnsi="Bookman Old Style"/>
              </w:rPr>
            </w:pPr>
            <w:r w:rsidRPr="00382B5B">
              <w:rPr>
                <w:rFonts w:ascii="Bookman Old Style" w:hAnsi="Bookman Old Style"/>
              </w:rPr>
              <w:t xml:space="preserve">È prevista, da parte del </w:t>
            </w:r>
            <w:r>
              <w:rPr>
                <w:rFonts w:ascii="Bookman Old Style" w:hAnsi="Bookman Old Style"/>
              </w:rPr>
              <w:t>M</w:t>
            </w:r>
            <w:r w:rsidRPr="00382B5B">
              <w:rPr>
                <w:rFonts w:ascii="Bookman Old Style" w:hAnsi="Bookman Old Style"/>
              </w:rPr>
              <w:t>inistero</w:t>
            </w:r>
            <w:r>
              <w:rPr>
                <w:rFonts w:ascii="Bookman Old Style" w:hAnsi="Bookman Old Style"/>
              </w:rPr>
              <w:t xml:space="preserve"> dell’I</w:t>
            </w:r>
            <w:r w:rsidRPr="00382B5B">
              <w:rPr>
                <w:rFonts w:ascii="Bookman Old Style" w:hAnsi="Bookman Old Style"/>
              </w:rPr>
              <w:t>struzione, l’indizione di un concorso di progettazione per le aree geografiche e gli enti locali, individuati a seguito di procedura selettiva. (</w:t>
            </w:r>
            <w:r w:rsidRPr="00382B5B">
              <w:rPr>
                <w:rFonts w:ascii="Bookman Old Style" w:hAnsi="Bookman Old Style"/>
                <w:i/>
                <w:iCs/>
              </w:rPr>
              <w:t>art. 22 dl n.152/21 recante disposizioni urgenti per l’attuazione del Piano nazionale di ripresa e resilienza e la prevenzione delle infiltrazioni mafiose).</w:t>
            </w:r>
            <w:bookmarkEnd w:id="0"/>
          </w:p>
        </w:tc>
      </w:tr>
    </w:tbl>
    <w:p w14:paraId="691BCA24" w14:textId="31D1F017" w:rsidR="00D677CA" w:rsidRDefault="00D677CA" w:rsidP="004666F1">
      <w:pPr>
        <w:pStyle w:val="Default"/>
        <w:jc w:val="both"/>
        <w:rPr>
          <w:rFonts w:ascii="Bookman Old Style" w:hAnsi="Bookman Old Style"/>
        </w:rPr>
      </w:pPr>
    </w:p>
    <w:p w14:paraId="5DF47706" w14:textId="15730ECF" w:rsidR="005252D4" w:rsidRDefault="005252D4" w:rsidP="004666F1">
      <w:pPr>
        <w:pStyle w:val="Default"/>
        <w:jc w:val="both"/>
        <w:rPr>
          <w:rFonts w:ascii="Bookman Old Style" w:hAnsi="Bookman Old Style"/>
        </w:rPr>
      </w:pPr>
    </w:p>
    <w:p w14:paraId="04CE6FAE" w14:textId="7A2B96C1" w:rsidR="005252D4" w:rsidRDefault="005252D4" w:rsidP="004666F1">
      <w:pPr>
        <w:pStyle w:val="Default"/>
        <w:jc w:val="both"/>
        <w:rPr>
          <w:rFonts w:ascii="Bookman Old Style" w:hAnsi="Bookman Old Style"/>
        </w:rPr>
      </w:pPr>
    </w:p>
    <w:p w14:paraId="75435EEC" w14:textId="77777777" w:rsidR="005252D4" w:rsidRPr="00382B5B" w:rsidRDefault="005252D4" w:rsidP="004666F1">
      <w:pPr>
        <w:pStyle w:val="Default"/>
        <w:jc w:val="both"/>
        <w:rPr>
          <w:rFonts w:ascii="Bookman Old Style" w:hAnsi="Bookman Old Style"/>
        </w:rPr>
      </w:pPr>
    </w:p>
    <w:tbl>
      <w:tblPr>
        <w:tblStyle w:val="Grigliatabella"/>
        <w:tblW w:w="0" w:type="auto"/>
        <w:tblLook w:val="04A0" w:firstRow="1" w:lastRow="0" w:firstColumn="1" w:lastColumn="0" w:noHBand="0" w:noVBand="1"/>
      </w:tblPr>
      <w:tblGrid>
        <w:gridCol w:w="9628"/>
      </w:tblGrid>
      <w:tr w:rsidR="004666F1" w:rsidRPr="00382B5B" w14:paraId="18169E3A" w14:textId="77777777" w:rsidTr="00792A57">
        <w:tc>
          <w:tcPr>
            <w:tcW w:w="9968" w:type="dxa"/>
          </w:tcPr>
          <w:p w14:paraId="74328376" w14:textId="77777777" w:rsidR="004666F1" w:rsidRPr="00382B5B" w:rsidRDefault="004666F1" w:rsidP="00792A57">
            <w:pPr>
              <w:pStyle w:val="Default"/>
              <w:jc w:val="both"/>
              <w:rPr>
                <w:rFonts w:ascii="Bookman Old Style" w:eastAsia="Times New Roman" w:hAnsi="Bookman Old Style"/>
                <w:b/>
                <w:bCs/>
                <w:u w:val="single"/>
              </w:rPr>
            </w:pPr>
            <w:r w:rsidRPr="00382B5B">
              <w:rPr>
                <w:rFonts w:ascii="Bookman Old Style" w:eastAsia="Times New Roman" w:hAnsi="Bookman Old Style"/>
                <w:b/>
                <w:bCs/>
                <w:u w:val="single"/>
              </w:rPr>
              <w:t xml:space="preserve">2) Asili nido e scuole infanzia </w:t>
            </w:r>
          </w:p>
          <w:p w14:paraId="50EA4279" w14:textId="5D0BEF17" w:rsidR="004666F1" w:rsidRPr="00EB3B03" w:rsidRDefault="004F7D35" w:rsidP="00792A57">
            <w:pPr>
              <w:pStyle w:val="Default"/>
              <w:jc w:val="both"/>
              <w:rPr>
                <w:rFonts w:ascii="Bookman Old Style" w:hAnsi="Bookman Old Style"/>
                <w:b/>
                <w:bCs/>
                <w:u w:val="single"/>
              </w:rPr>
            </w:pPr>
            <w:r w:rsidRPr="00EB3B03">
              <w:rPr>
                <w:rFonts w:ascii="Bookman Old Style" w:hAnsi="Bookman Old Style"/>
                <w:b/>
                <w:bCs/>
                <w:u w:val="single"/>
              </w:rPr>
              <w:t xml:space="preserve">Avviso pubblico: </w:t>
            </w:r>
            <w:r w:rsidR="004666F1" w:rsidRPr="00EB3B03">
              <w:rPr>
                <w:rFonts w:ascii="Bookman Old Style" w:hAnsi="Bookman Old Style"/>
                <w:b/>
                <w:bCs/>
                <w:u w:val="single"/>
              </w:rPr>
              <w:t>candidature entro  28 febbraio  2022</w:t>
            </w:r>
          </w:p>
          <w:p w14:paraId="4604F87E" w14:textId="0620F3CE" w:rsidR="004666F1" w:rsidRDefault="00EB3B03" w:rsidP="00792A57">
            <w:pPr>
              <w:pStyle w:val="Default"/>
              <w:jc w:val="both"/>
              <w:rPr>
                <w:rFonts w:ascii="Bookman Old Style" w:hAnsi="Bookman Old Style"/>
              </w:rPr>
            </w:pPr>
            <w:r>
              <w:rPr>
                <w:rFonts w:ascii="Bookman Old Style" w:hAnsi="Bookman Old Style"/>
              </w:rPr>
              <w:t>Aggiudicazione lavori entro il 20 giugno 2023 e conclusione entro e non oltre il 31 dicembre 2025</w:t>
            </w:r>
            <w:r w:rsidR="00A75243">
              <w:rPr>
                <w:rFonts w:ascii="Bookman Old Style" w:hAnsi="Bookman Old Style"/>
              </w:rPr>
              <w:t>.</w:t>
            </w:r>
          </w:p>
          <w:p w14:paraId="063062B5" w14:textId="77777777" w:rsidR="00EB3B03" w:rsidRPr="00382B5B" w:rsidRDefault="00EB3B03" w:rsidP="00792A57">
            <w:pPr>
              <w:pStyle w:val="Default"/>
              <w:jc w:val="both"/>
              <w:rPr>
                <w:rFonts w:ascii="Bookman Old Style" w:hAnsi="Bookman Old Style"/>
              </w:rPr>
            </w:pPr>
          </w:p>
          <w:p w14:paraId="47BDE020" w14:textId="71067B63" w:rsidR="004666F1" w:rsidRPr="00382B5B" w:rsidRDefault="004666F1" w:rsidP="00792A57">
            <w:pPr>
              <w:pStyle w:val="Default"/>
              <w:jc w:val="both"/>
              <w:rPr>
                <w:rFonts w:ascii="Bookman Old Style" w:hAnsi="Bookman Old Style"/>
              </w:rPr>
            </w:pPr>
            <w:r w:rsidRPr="00382B5B">
              <w:rPr>
                <w:rFonts w:ascii="Bookman Old Style" w:hAnsi="Bookman Old Style"/>
              </w:rPr>
              <w:t>Risorse per</w:t>
            </w:r>
            <w:r w:rsidRPr="00382B5B">
              <w:rPr>
                <w:rFonts w:ascii="Bookman Old Style" w:hAnsi="Bookman Old Style"/>
                <w:b/>
                <w:bCs/>
              </w:rPr>
              <w:t xml:space="preserve"> </w:t>
            </w:r>
            <w:r w:rsidRPr="00382B5B">
              <w:rPr>
                <w:rFonts w:ascii="Bookman Old Style" w:hAnsi="Bookman Old Style"/>
              </w:rPr>
              <w:t>messa in sicurezza, riconversione,</w:t>
            </w:r>
            <w:r w:rsidR="00D52B2A">
              <w:rPr>
                <w:rFonts w:ascii="Bookman Old Style" w:hAnsi="Bookman Old Style"/>
              </w:rPr>
              <w:t xml:space="preserve"> nuova </w:t>
            </w:r>
            <w:r w:rsidRPr="00382B5B">
              <w:rPr>
                <w:rFonts w:ascii="Bookman Old Style" w:hAnsi="Bookman Old Style"/>
              </w:rPr>
              <w:t>costruzione asili e scuole infanzia, con l’obiettivo di creare 264 mila nuovi posti</w:t>
            </w:r>
            <w:r w:rsidR="00D52B2A">
              <w:rPr>
                <w:rFonts w:ascii="Bookman Old Style" w:hAnsi="Bookman Old Style"/>
              </w:rPr>
              <w:t xml:space="preserve"> da parte di Comuni e/o Unioni di Comuni</w:t>
            </w:r>
            <w:r w:rsidR="00E54529">
              <w:rPr>
                <w:rFonts w:ascii="Bookman Old Style" w:hAnsi="Bookman Old Style"/>
              </w:rPr>
              <w:t>.</w:t>
            </w:r>
          </w:p>
          <w:p w14:paraId="5A4C0A1C" w14:textId="77777777" w:rsidR="004666F1" w:rsidRPr="00382B5B" w:rsidRDefault="004666F1" w:rsidP="00792A57">
            <w:pPr>
              <w:pStyle w:val="Default"/>
              <w:spacing w:after="22"/>
              <w:jc w:val="both"/>
              <w:rPr>
                <w:rFonts w:ascii="Bookman Old Style" w:hAnsi="Bookman Old Style"/>
              </w:rPr>
            </w:pPr>
          </w:p>
          <w:p w14:paraId="322CAFE3" w14:textId="77777777" w:rsidR="004666F1" w:rsidRPr="00382B5B" w:rsidRDefault="004666F1" w:rsidP="00792A57">
            <w:pPr>
              <w:pStyle w:val="Default"/>
              <w:spacing w:after="22"/>
              <w:jc w:val="both"/>
              <w:rPr>
                <w:rFonts w:ascii="Bookman Old Style" w:hAnsi="Bookman Old Style"/>
              </w:rPr>
            </w:pPr>
            <w:r w:rsidRPr="00382B5B">
              <w:rPr>
                <w:rFonts w:ascii="Bookman Old Style" w:hAnsi="Bookman Old Style"/>
              </w:rPr>
              <w:t xml:space="preserve">- 3 mld per nuovi progetti  di  cui: </w:t>
            </w:r>
          </w:p>
          <w:p w14:paraId="77645787" w14:textId="34CEAB3A" w:rsidR="004666F1" w:rsidRPr="00382B5B" w:rsidRDefault="004666F1" w:rsidP="004D6AF4">
            <w:pPr>
              <w:pStyle w:val="Default"/>
              <w:numPr>
                <w:ilvl w:val="0"/>
                <w:numId w:val="3"/>
              </w:numPr>
              <w:spacing w:after="22"/>
              <w:jc w:val="both"/>
              <w:rPr>
                <w:rFonts w:ascii="Bookman Old Style" w:hAnsi="Bookman Old Style"/>
              </w:rPr>
            </w:pPr>
            <w:r w:rsidRPr="00382B5B">
              <w:rPr>
                <w:rFonts w:ascii="Bookman Old Style" w:hAnsi="Bookman Old Style"/>
                <w:b/>
                <w:bCs/>
              </w:rPr>
              <w:t>2,4  miliardi   per  asili  nido</w:t>
            </w:r>
          </w:p>
          <w:p w14:paraId="5F7EBB7F" w14:textId="33DD0254" w:rsidR="004666F1" w:rsidRDefault="004666F1" w:rsidP="004D6AF4">
            <w:pPr>
              <w:pStyle w:val="Default"/>
              <w:numPr>
                <w:ilvl w:val="0"/>
                <w:numId w:val="3"/>
              </w:numPr>
              <w:spacing w:after="22"/>
              <w:jc w:val="both"/>
              <w:rPr>
                <w:rFonts w:ascii="Bookman Old Style" w:hAnsi="Bookman Old Style"/>
                <w:b/>
                <w:bCs/>
              </w:rPr>
            </w:pPr>
            <w:r w:rsidRPr="00382B5B">
              <w:rPr>
                <w:rFonts w:ascii="Bookman Old Style" w:hAnsi="Bookman Old Style"/>
                <w:b/>
                <w:bCs/>
              </w:rPr>
              <w:t xml:space="preserve">600  milioni  per  scuole  infanzia </w:t>
            </w:r>
          </w:p>
          <w:p w14:paraId="1BEBCEE1" w14:textId="77777777" w:rsidR="004666F1" w:rsidRPr="00D25261" w:rsidRDefault="004666F1" w:rsidP="00792A57">
            <w:pPr>
              <w:pStyle w:val="Default"/>
              <w:spacing w:after="22"/>
              <w:jc w:val="both"/>
              <w:rPr>
                <w:rFonts w:ascii="Bookman Old Style" w:hAnsi="Bookman Old Style"/>
              </w:rPr>
            </w:pPr>
          </w:p>
          <w:p w14:paraId="5486045E" w14:textId="7C33F9E3" w:rsidR="004666F1" w:rsidRDefault="004666F1" w:rsidP="00792A57">
            <w:pPr>
              <w:pStyle w:val="Default"/>
              <w:spacing w:after="22"/>
              <w:jc w:val="both"/>
              <w:rPr>
                <w:rFonts w:ascii="Bookman Old Style" w:hAnsi="Bookman Old Style"/>
              </w:rPr>
            </w:pPr>
            <w:r w:rsidRPr="00D25261">
              <w:rPr>
                <w:rFonts w:ascii="Bookman Old Style" w:hAnsi="Bookman Old Style"/>
              </w:rPr>
              <w:t>Previste risorse in conto corrente per spese di gestione</w:t>
            </w:r>
            <w:r w:rsidR="00E54529">
              <w:rPr>
                <w:rFonts w:ascii="Bookman Old Style" w:hAnsi="Bookman Old Style"/>
              </w:rPr>
              <w:t>.</w:t>
            </w:r>
          </w:p>
          <w:p w14:paraId="406C5C1D" w14:textId="2E7B7284" w:rsidR="00D52B2A" w:rsidRPr="00382B5B" w:rsidRDefault="00D52B2A" w:rsidP="00792A57">
            <w:pPr>
              <w:pStyle w:val="Default"/>
              <w:spacing w:after="22"/>
              <w:jc w:val="both"/>
              <w:rPr>
                <w:rFonts w:ascii="Bookman Old Style" w:hAnsi="Bookman Old Style"/>
              </w:rPr>
            </w:pPr>
          </w:p>
        </w:tc>
      </w:tr>
    </w:tbl>
    <w:p w14:paraId="34007FBA" w14:textId="68F11A7D" w:rsidR="004666F1" w:rsidRDefault="004666F1" w:rsidP="004666F1">
      <w:pPr>
        <w:pStyle w:val="Default"/>
        <w:jc w:val="both"/>
        <w:rPr>
          <w:rFonts w:ascii="Bookman Old Style" w:hAnsi="Bookman Old Style"/>
        </w:rPr>
      </w:pPr>
    </w:p>
    <w:p w14:paraId="33873EBC" w14:textId="3DA503BF" w:rsidR="00D677CA" w:rsidRDefault="00D677CA" w:rsidP="004666F1">
      <w:pPr>
        <w:pStyle w:val="Default"/>
        <w:jc w:val="both"/>
        <w:rPr>
          <w:rFonts w:ascii="Bookman Old Style" w:hAnsi="Bookman Old Style"/>
        </w:rPr>
      </w:pPr>
    </w:p>
    <w:p w14:paraId="7E8D7FF6" w14:textId="77777777" w:rsidR="005252D4" w:rsidRPr="00382B5B" w:rsidRDefault="005252D4" w:rsidP="004666F1">
      <w:pPr>
        <w:pStyle w:val="Default"/>
        <w:jc w:val="both"/>
        <w:rPr>
          <w:rFonts w:ascii="Bookman Old Style" w:hAnsi="Bookman Old Style"/>
        </w:rPr>
      </w:pPr>
    </w:p>
    <w:tbl>
      <w:tblPr>
        <w:tblStyle w:val="Grigliatabella"/>
        <w:tblW w:w="0" w:type="auto"/>
        <w:tblLook w:val="04A0" w:firstRow="1" w:lastRow="0" w:firstColumn="1" w:lastColumn="0" w:noHBand="0" w:noVBand="1"/>
      </w:tblPr>
      <w:tblGrid>
        <w:gridCol w:w="9628"/>
      </w:tblGrid>
      <w:tr w:rsidR="004666F1" w:rsidRPr="00382B5B" w14:paraId="4BEF985B" w14:textId="77777777" w:rsidTr="00C2244D">
        <w:tc>
          <w:tcPr>
            <w:tcW w:w="9628" w:type="dxa"/>
          </w:tcPr>
          <w:p w14:paraId="7CE0B311" w14:textId="77777777" w:rsidR="004666F1" w:rsidRPr="00382B5B" w:rsidRDefault="004666F1" w:rsidP="00792A57">
            <w:pPr>
              <w:pStyle w:val="Default"/>
              <w:jc w:val="both"/>
              <w:rPr>
                <w:rFonts w:ascii="Bookman Old Style" w:hAnsi="Bookman Old Style"/>
                <w:b/>
                <w:bCs/>
                <w:u w:val="single"/>
              </w:rPr>
            </w:pPr>
            <w:r w:rsidRPr="00382B5B">
              <w:rPr>
                <w:rFonts w:ascii="Bookman Old Style" w:hAnsi="Bookman Old Style"/>
                <w:b/>
                <w:bCs/>
                <w:u w:val="single"/>
              </w:rPr>
              <w:t>3) Piano  estensione  tempo  pieno e</w:t>
            </w:r>
            <w:r w:rsidRPr="00382B5B">
              <w:rPr>
                <w:rFonts w:ascii="Bookman Old Style" w:hAnsi="Bookman Old Style"/>
                <w:u w:val="single"/>
              </w:rPr>
              <w:t xml:space="preserve">  </w:t>
            </w:r>
            <w:r w:rsidRPr="00382B5B">
              <w:rPr>
                <w:rFonts w:ascii="Bookman Old Style" w:hAnsi="Bookman Old Style"/>
                <w:b/>
                <w:bCs/>
                <w:u w:val="single"/>
              </w:rPr>
              <w:t xml:space="preserve">Mense </w:t>
            </w:r>
          </w:p>
          <w:p w14:paraId="53428C55" w14:textId="77777777" w:rsidR="004666F1" w:rsidRPr="00382B5B" w:rsidRDefault="004666F1" w:rsidP="00792A57">
            <w:pPr>
              <w:pStyle w:val="Default"/>
              <w:ind w:firstLine="32"/>
              <w:jc w:val="both"/>
              <w:rPr>
                <w:rFonts w:ascii="Bookman Old Style" w:hAnsi="Bookman Old Style"/>
                <w:b/>
                <w:bCs/>
                <w:u w:val="single"/>
              </w:rPr>
            </w:pPr>
            <w:r w:rsidRPr="00382B5B">
              <w:rPr>
                <w:rFonts w:ascii="Bookman Old Style" w:hAnsi="Bookman Old Style"/>
                <w:b/>
                <w:bCs/>
                <w:u w:val="single"/>
              </w:rPr>
              <w:t> Avviso  pubblico:  candidature  entro  28  febbraio 2022</w:t>
            </w:r>
          </w:p>
          <w:p w14:paraId="386FDF2F" w14:textId="15290379" w:rsidR="004666F1" w:rsidRPr="00382B5B" w:rsidRDefault="004666F1" w:rsidP="00792A57">
            <w:pPr>
              <w:pStyle w:val="Default"/>
              <w:jc w:val="both"/>
              <w:rPr>
                <w:rFonts w:ascii="Bookman Old Style" w:hAnsi="Bookman Old Style"/>
              </w:rPr>
            </w:pPr>
            <w:r w:rsidRPr="00382B5B">
              <w:rPr>
                <w:rFonts w:ascii="Bookman Old Style" w:hAnsi="Bookman Old Style"/>
              </w:rPr>
              <w:t xml:space="preserve">Aggiudicazione lavori entro 31 marzo 2023 e conclusione entro e non oltre 31 </w:t>
            </w:r>
            <w:r w:rsidR="00B621C3">
              <w:rPr>
                <w:rFonts w:ascii="Bookman Old Style" w:hAnsi="Bookman Old Style"/>
              </w:rPr>
              <w:t>dicembre</w:t>
            </w:r>
            <w:r w:rsidRPr="00382B5B">
              <w:rPr>
                <w:rFonts w:ascii="Bookman Old Style" w:hAnsi="Bookman Old Style"/>
              </w:rPr>
              <w:t xml:space="preserve"> 2025</w:t>
            </w:r>
            <w:r w:rsidR="00B621C3">
              <w:rPr>
                <w:rFonts w:ascii="Bookman Old Style" w:hAnsi="Bookman Old Style"/>
              </w:rPr>
              <w:t>.</w:t>
            </w:r>
          </w:p>
          <w:p w14:paraId="36D1DB54" w14:textId="77777777" w:rsidR="004666F1" w:rsidRPr="00382B5B" w:rsidRDefault="004666F1" w:rsidP="00792A57">
            <w:pPr>
              <w:pStyle w:val="Default"/>
              <w:jc w:val="both"/>
              <w:rPr>
                <w:rFonts w:ascii="Bookman Old Style" w:hAnsi="Bookman Old Style"/>
              </w:rPr>
            </w:pPr>
          </w:p>
          <w:p w14:paraId="2BD7E368" w14:textId="77777777" w:rsidR="004666F1" w:rsidRPr="00382B5B" w:rsidRDefault="004666F1" w:rsidP="00792A57">
            <w:pPr>
              <w:pStyle w:val="Default"/>
              <w:jc w:val="both"/>
              <w:rPr>
                <w:rFonts w:ascii="Bookman Old Style" w:hAnsi="Bookman Old Style"/>
              </w:rPr>
            </w:pPr>
            <w:r w:rsidRPr="00382B5B">
              <w:rPr>
                <w:rFonts w:ascii="Bookman Old Style" w:hAnsi="Bookman Old Style"/>
              </w:rPr>
              <w:t>Ogni ente locale può presentare massimo 2 proposte di cui ognuna riferita ad un singolo edificio scolastico. I capoluogo di provincia possono presentare massimo 4 proposte.</w:t>
            </w:r>
          </w:p>
          <w:p w14:paraId="143BE7F9" w14:textId="77777777" w:rsidR="004666F1" w:rsidRPr="00382B5B" w:rsidRDefault="004666F1" w:rsidP="00792A57">
            <w:pPr>
              <w:pStyle w:val="Default"/>
              <w:jc w:val="both"/>
              <w:rPr>
                <w:rFonts w:ascii="Bookman Old Style" w:hAnsi="Bookman Old Style"/>
              </w:rPr>
            </w:pPr>
          </w:p>
          <w:p w14:paraId="593EF11B" w14:textId="77777777" w:rsidR="004666F1" w:rsidRDefault="004666F1" w:rsidP="00792A57">
            <w:pPr>
              <w:pStyle w:val="Default"/>
              <w:jc w:val="both"/>
              <w:rPr>
                <w:rFonts w:ascii="Bookman Old Style" w:hAnsi="Bookman Old Style"/>
              </w:rPr>
            </w:pPr>
            <w:r w:rsidRPr="00382B5B">
              <w:rPr>
                <w:rFonts w:ascii="Bookman Old Style" w:hAnsi="Bookman Old Style"/>
                <w:b/>
                <w:bCs/>
              </w:rPr>
              <w:t xml:space="preserve">- 400 milioni di euro </w:t>
            </w:r>
            <w:r w:rsidRPr="00382B5B">
              <w:rPr>
                <w:rFonts w:ascii="Bookman Old Style" w:hAnsi="Bookman Old Style"/>
              </w:rPr>
              <w:t>per costruire nuove mense scolastiche ovvero riqualificare quelle esistenti per superare divario Nord-Sud e favorire l’attivazione del tempo pieno con costruzione o ristrutturazione e riqualificazione degli spazi mense (totale di circa 1.000 edifici) da parte degli enti locali proprietari degli edifici.</w:t>
            </w:r>
          </w:p>
          <w:p w14:paraId="5EB474BE" w14:textId="77777777" w:rsidR="004666F1" w:rsidRPr="00382B5B" w:rsidRDefault="004666F1" w:rsidP="00792A57">
            <w:pPr>
              <w:pStyle w:val="Default"/>
              <w:jc w:val="both"/>
              <w:rPr>
                <w:rFonts w:ascii="Bookman Old Style" w:hAnsi="Bookman Old Style"/>
              </w:rPr>
            </w:pPr>
            <w:r w:rsidRPr="00382B5B">
              <w:rPr>
                <w:rFonts w:ascii="Bookman Old Style" w:hAnsi="Bookman Old Style"/>
              </w:rPr>
              <w:t xml:space="preserve"> Misura di potenziamento in sinergia con progetti per incremento dell’offerta formativa.</w:t>
            </w:r>
          </w:p>
        </w:tc>
      </w:tr>
      <w:tr w:rsidR="004666F1" w:rsidRPr="00382B5B" w14:paraId="4FA22BEE" w14:textId="77777777" w:rsidTr="004666F1">
        <w:tc>
          <w:tcPr>
            <w:tcW w:w="9628" w:type="dxa"/>
          </w:tcPr>
          <w:p w14:paraId="7D1E408D" w14:textId="77777777" w:rsidR="004666F1" w:rsidRPr="00382B5B" w:rsidRDefault="004666F1" w:rsidP="00792A57">
            <w:pPr>
              <w:pStyle w:val="Default"/>
              <w:jc w:val="both"/>
              <w:rPr>
                <w:rFonts w:ascii="Bookman Old Style" w:hAnsi="Bookman Old Style"/>
                <w:b/>
                <w:bCs/>
                <w:u w:val="single"/>
              </w:rPr>
            </w:pPr>
            <w:r w:rsidRPr="00382B5B">
              <w:rPr>
                <w:rFonts w:ascii="Bookman Old Style" w:hAnsi="Bookman Old Style"/>
                <w:b/>
                <w:bCs/>
                <w:u w:val="single"/>
              </w:rPr>
              <w:lastRenderedPageBreak/>
              <w:t xml:space="preserve">4) Infrastrutture sportive per lo sport a scuola  </w:t>
            </w:r>
          </w:p>
          <w:p w14:paraId="0C9F5211" w14:textId="77777777" w:rsidR="004666F1" w:rsidRPr="00382B5B" w:rsidRDefault="004666F1" w:rsidP="00792A57">
            <w:pPr>
              <w:pStyle w:val="Default"/>
              <w:jc w:val="both"/>
              <w:rPr>
                <w:rFonts w:ascii="Bookman Old Style" w:hAnsi="Bookman Old Style"/>
                <w:b/>
                <w:bCs/>
                <w:u w:val="single"/>
              </w:rPr>
            </w:pPr>
            <w:r w:rsidRPr="00382B5B">
              <w:rPr>
                <w:rFonts w:ascii="Bookman Old Style" w:hAnsi="Bookman Old Style"/>
                <w:b/>
                <w:bCs/>
                <w:u w:val="single"/>
              </w:rPr>
              <w:t>Avviso pubblico:  Candidature  entro  28 febbraio  2022.</w:t>
            </w:r>
          </w:p>
          <w:p w14:paraId="571C1EEE" w14:textId="6C1CFB80" w:rsidR="004666F1" w:rsidRPr="00382B5B" w:rsidRDefault="004666F1" w:rsidP="00792A57">
            <w:pPr>
              <w:pStyle w:val="Default"/>
              <w:jc w:val="both"/>
              <w:rPr>
                <w:rFonts w:ascii="Bookman Old Style" w:hAnsi="Bookman Old Style"/>
              </w:rPr>
            </w:pPr>
            <w:r w:rsidRPr="00382B5B">
              <w:rPr>
                <w:rFonts w:ascii="Bookman Old Style" w:hAnsi="Bookman Old Style"/>
              </w:rPr>
              <w:t>Aggiudicazione entro 31 marzo 2024 e conclusi</w:t>
            </w:r>
            <w:r w:rsidR="004908D7">
              <w:rPr>
                <w:rFonts w:ascii="Bookman Old Style" w:hAnsi="Bookman Old Style"/>
              </w:rPr>
              <w:t xml:space="preserve">one </w:t>
            </w:r>
            <w:r w:rsidRPr="00382B5B">
              <w:rPr>
                <w:rFonts w:ascii="Bookman Old Style" w:hAnsi="Bookman Old Style"/>
              </w:rPr>
              <w:t>entro e non oltre 31 marzo 2026</w:t>
            </w:r>
            <w:r w:rsidR="00FB61AE">
              <w:rPr>
                <w:rFonts w:ascii="Bookman Old Style" w:hAnsi="Bookman Old Style"/>
              </w:rPr>
              <w:t>.</w:t>
            </w:r>
          </w:p>
          <w:p w14:paraId="6CDB789C" w14:textId="77777777" w:rsidR="004666F1" w:rsidRPr="00382B5B" w:rsidRDefault="004666F1" w:rsidP="00792A57">
            <w:pPr>
              <w:pStyle w:val="Default"/>
              <w:jc w:val="both"/>
              <w:rPr>
                <w:rFonts w:ascii="Bookman Old Style" w:hAnsi="Bookman Old Style"/>
              </w:rPr>
            </w:pPr>
          </w:p>
          <w:p w14:paraId="3AAEE4F2" w14:textId="77777777" w:rsidR="004666F1" w:rsidRPr="00382B5B" w:rsidRDefault="004666F1" w:rsidP="00792A57">
            <w:pPr>
              <w:pStyle w:val="Default"/>
              <w:jc w:val="both"/>
              <w:rPr>
                <w:rFonts w:ascii="Bookman Old Style" w:hAnsi="Bookman Old Style"/>
              </w:rPr>
            </w:pPr>
            <w:r w:rsidRPr="00382B5B">
              <w:rPr>
                <w:rFonts w:ascii="Bookman Old Style" w:hAnsi="Bookman Old Style"/>
              </w:rPr>
              <w:t>Ogni ente locale può presentare massimo 2 proposte di cui ognuna riferita ad un singolo edificio scolastico. I capoluogo di provincia, le  provincie e  città metropolitane possono presentare massimo 4 proposte.</w:t>
            </w:r>
          </w:p>
          <w:p w14:paraId="6291DD85" w14:textId="77777777" w:rsidR="004666F1" w:rsidRPr="00382B5B" w:rsidRDefault="004666F1" w:rsidP="00792A57">
            <w:pPr>
              <w:pStyle w:val="Default"/>
              <w:jc w:val="both"/>
              <w:rPr>
                <w:rFonts w:ascii="Bookman Old Style" w:hAnsi="Bookman Old Style"/>
              </w:rPr>
            </w:pPr>
          </w:p>
          <w:p w14:paraId="10EC2DB5" w14:textId="77777777" w:rsidR="004666F1" w:rsidRPr="00382B5B" w:rsidRDefault="004666F1" w:rsidP="00792A57">
            <w:pPr>
              <w:pStyle w:val="Default"/>
              <w:jc w:val="both"/>
              <w:rPr>
                <w:rFonts w:ascii="Bookman Old Style" w:hAnsi="Bookman Old Style"/>
              </w:rPr>
            </w:pPr>
            <w:r w:rsidRPr="00382B5B">
              <w:rPr>
                <w:rFonts w:ascii="Bookman Old Style" w:hAnsi="Bookman Old Style"/>
                <w:b/>
                <w:bCs/>
              </w:rPr>
              <w:t xml:space="preserve">- 300 milioni </w:t>
            </w:r>
            <w:r w:rsidRPr="00382B5B">
              <w:rPr>
                <w:rFonts w:ascii="Bookman Old Style" w:hAnsi="Bookman Old Style"/>
              </w:rPr>
              <w:t xml:space="preserve">per la costruzione di nuove palestre scolastiche o messa in sicurezza di quelle esistenti, al fine di contrastare la dispersione scolastica e incrementare il tempo pieno consentendo l’apertura della scuola anche oltre l’orario scolastico. </w:t>
            </w:r>
          </w:p>
        </w:tc>
      </w:tr>
    </w:tbl>
    <w:p w14:paraId="04BC2EA4" w14:textId="78E11619" w:rsidR="004666F1" w:rsidRDefault="004666F1" w:rsidP="004666F1">
      <w:pPr>
        <w:pStyle w:val="Default"/>
        <w:jc w:val="both"/>
        <w:rPr>
          <w:rFonts w:ascii="Bookman Old Style" w:hAnsi="Bookman Old Style"/>
        </w:rPr>
      </w:pPr>
    </w:p>
    <w:p w14:paraId="6E19BA49" w14:textId="6C0C7070" w:rsidR="004666F1" w:rsidRDefault="004666F1" w:rsidP="004666F1">
      <w:pPr>
        <w:pStyle w:val="Default"/>
        <w:jc w:val="both"/>
        <w:rPr>
          <w:rFonts w:ascii="Bookman Old Style" w:hAnsi="Bookman Old Style"/>
        </w:rPr>
      </w:pPr>
    </w:p>
    <w:p w14:paraId="34426483" w14:textId="77777777" w:rsidR="004666F1" w:rsidRPr="00382B5B" w:rsidRDefault="004666F1" w:rsidP="004666F1">
      <w:pPr>
        <w:pStyle w:val="Default"/>
        <w:jc w:val="both"/>
        <w:rPr>
          <w:rFonts w:ascii="Bookman Old Style" w:hAnsi="Bookman Old Style"/>
        </w:rPr>
      </w:pPr>
    </w:p>
    <w:tbl>
      <w:tblPr>
        <w:tblStyle w:val="Grigliatabella"/>
        <w:tblW w:w="0" w:type="auto"/>
        <w:tblLook w:val="04A0" w:firstRow="1" w:lastRow="0" w:firstColumn="1" w:lastColumn="0" w:noHBand="0" w:noVBand="1"/>
      </w:tblPr>
      <w:tblGrid>
        <w:gridCol w:w="9628"/>
      </w:tblGrid>
      <w:tr w:rsidR="004666F1" w:rsidRPr="00382B5B" w14:paraId="569FBAC0" w14:textId="77777777" w:rsidTr="00792A57">
        <w:tc>
          <w:tcPr>
            <w:tcW w:w="9968" w:type="dxa"/>
          </w:tcPr>
          <w:p w14:paraId="4255EFF1" w14:textId="77777777" w:rsidR="004666F1" w:rsidRPr="00382B5B" w:rsidRDefault="004666F1" w:rsidP="00792A57">
            <w:pPr>
              <w:pStyle w:val="Default"/>
              <w:jc w:val="both"/>
              <w:rPr>
                <w:rFonts w:ascii="Bookman Old Style" w:hAnsi="Bookman Old Style"/>
                <w:b/>
                <w:bCs/>
                <w:u w:val="single"/>
              </w:rPr>
            </w:pPr>
            <w:r w:rsidRPr="00382B5B">
              <w:rPr>
                <w:rFonts w:ascii="Bookman Old Style" w:hAnsi="Bookman Old Style"/>
                <w:b/>
                <w:bCs/>
                <w:u w:val="single"/>
              </w:rPr>
              <w:t xml:space="preserve">5) Piano di Messa in sicurezza e riqualificazione dell’edilizia scolastica </w:t>
            </w:r>
          </w:p>
          <w:p w14:paraId="75E2CA63" w14:textId="77777777" w:rsidR="004666F1" w:rsidRPr="00382B5B" w:rsidRDefault="004666F1" w:rsidP="00792A57">
            <w:pPr>
              <w:pStyle w:val="Default"/>
              <w:jc w:val="both"/>
              <w:rPr>
                <w:rFonts w:ascii="Bookman Old Style" w:hAnsi="Bookman Old Style"/>
                <w:b/>
                <w:bCs/>
                <w:u w:val="single"/>
              </w:rPr>
            </w:pPr>
          </w:p>
          <w:p w14:paraId="187B3001" w14:textId="77777777" w:rsidR="004666F1" w:rsidRPr="00382B5B" w:rsidRDefault="004666F1" w:rsidP="00792A57">
            <w:pPr>
              <w:pStyle w:val="Default"/>
              <w:jc w:val="both"/>
              <w:rPr>
                <w:rFonts w:ascii="Bookman Old Style" w:hAnsi="Bookman Old Style"/>
                <w:b/>
                <w:bCs/>
                <w:color w:val="auto"/>
              </w:rPr>
            </w:pPr>
            <w:r w:rsidRPr="00382B5B">
              <w:rPr>
                <w:rFonts w:ascii="Bookman Old Style" w:hAnsi="Bookman Old Style"/>
                <w:b/>
                <w:bCs/>
              </w:rPr>
              <w:t>L’individuazione degli interventi è effettuata attraverso la programmazione regionale</w:t>
            </w:r>
            <w:r>
              <w:rPr>
                <w:rFonts w:ascii="Bookman Old Style" w:hAnsi="Bookman Old Style"/>
                <w:b/>
                <w:bCs/>
              </w:rPr>
              <w:t>,</w:t>
            </w:r>
            <w:r w:rsidRPr="00382B5B">
              <w:rPr>
                <w:rFonts w:ascii="Bookman Old Style" w:hAnsi="Bookman Old Style"/>
                <w:b/>
                <w:bCs/>
                <w:color w:val="auto"/>
              </w:rPr>
              <w:t xml:space="preserve"> pertanto non è previsto avviso pubblico</w:t>
            </w:r>
            <w:r>
              <w:rPr>
                <w:rFonts w:ascii="Bookman Old Style" w:hAnsi="Bookman Old Style"/>
                <w:b/>
                <w:bCs/>
                <w:color w:val="auto"/>
              </w:rPr>
              <w:t xml:space="preserve">. Le procedure dovranno concludersi entro e  non oltre il  22  febbraio. </w:t>
            </w:r>
          </w:p>
          <w:p w14:paraId="48ED498A" w14:textId="77777777" w:rsidR="004666F1" w:rsidRPr="00382B5B" w:rsidRDefault="004666F1" w:rsidP="00792A57">
            <w:pPr>
              <w:pStyle w:val="Default"/>
              <w:jc w:val="both"/>
              <w:rPr>
                <w:rFonts w:ascii="Bookman Old Style" w:hAnsi="Bookman Old Style"/>
              </w:rPr>
            </w:pPr>
          </w:p>
          <w:p w14:paraId="522B0F4B" w14:textId="1F3A7421" w:rsidR="004666F1" w:rsidRPr="00382B5B" w:rsidRDefault="004666F1" w:rsidP="00792A57">
            <w:pPr>
              <w:pStyle w:val="Default"/>
              <w:jc w:val="both"/>
              <w:rPr>
                <w:rFonts w:ascii="Bookman Old Style" w:hAnsi="Bookman Old Style"/>
                <w:color w:val="auto"/>
              </w:rPr>
            </w:pPr>
            <w:r w:rsidRPr="00382B5B">
              <w:rPr>
                <w:rFonts w:ascii="Bookman Old Style" w:hAnsi="Bookman Old Style"/>
                <w:b/>
                <w:bCs/>
              </w:rPr>
              <w:t>-</w:t>
            </w:r>
            <w:r>
              <w:rPr>
                <w:rFonts w:ascii="Bookman Old Style" w:hAnsi="Bookman Old Style"/>
                <w:b/>
                <w:bCs/>
              </w:rPr>
              <w:t>500</w:t>
            </w:r>
            <w:r w:rsidRPr="00382B5B">
              <w:rPr>
                <w:rFonts w:ascii="Bookman Old Style" w:hAnsi="Bookman Old Style"/>
                <w:b/>
                <w:bCs/>
              </w:rPr>
              <w:t xml:space="preserve">  milioni </w:t>
            </w:r>
            <w:r w:rsidRPr="008A6D12">
              <w:rPr>
                <w:rFonts w:ascii="Bookman Old Style" w:hAnsi="Bookman Old Style"/>
              </w:rPr>
              <w:t>(ai  quali  si  aggiungono ulteriori  210</w:t>
            </w:r>
            <w:r>
              <w:rPr>
                <w:rFonts w:ascii="Bookman Old Style" w:hAnsi="Bookman Old Style"/>
              </w:rPr>
              <w:t xml:space="preserve"> mln</w:t>
            </w:r>
            <w:r w:rsidR="007D4584">
              <w:rPr>
                <w:rFonts w:ascii="Bookman Old Style" w:hAnsi="Bookman Old Style"/>
              </w:rPr>
              <w:t>, decreto istruzione n. 253/21)</w:t>
            </w:r>
            <w:r w:rsidRPr="008A6D12">
              <w:rPr>
                <w:rFonts w:ascii="Bookman Old Style" w:hAnsi="Bookman Old Style"/>
              </w:rPr>
              <w:t xml:space="preserve"> </w:t>
            </w:r>
            <w:r w:rsidRPr="00382B5B">
              <w:rPr>
                <w:rFonts w:ascii="Bookman Old Style" w:hAnsi="Bookman Old Style"/>
              </w:rPr>
              <w:t>da destinare a progetti di messa in sicurezza del patrimonio scolastico esistente attraverso l’adeguamento sismico, l’efficientamento energetico e la sostituzione edilizia di edifici e scuole vetuste e inagibili</w:t>
            </w:r>
            <w:r w:rsidRPr="00382B5B">
              <w:rPr>
                <w:rFonts w:ascii="Bookman Old Style" w:hAnsi="Bookman Old Style"/>
                <w:color w:val="auto"/>
              </w:rPr>
              <w:t>. I progetti saranno individuati entro marzo 2022 con decreto del Ministero Istruzione.</w:t>
            </w:r>
          </w:p>
          <w:p w14:paraId="58F69A1E" w14:textId="77777777" w:rsidR="004666F1" w:rsidRPr="00382B5B" w:rsidRDefault="004666F1" w:rsidP="00792A57">
            <w:pPr>
              <w:pStyle w:val="Default"/>
              <w:jc w:val="both"/>
              <w:rPr>
                <w:rFonts w:ascii="Bookman Old Style" w:hAnsi="Bookman Old Style"/>
              </w:rPr>
            </w:pPr>
          </w:p>
          <w:p w14:paraId="078363FE" w14:textId="0ABF3234" w:rsidR="004666F1" w:rsidRPr="00382B5B" w:rsidRDefault="004666F1" w:rsidP="00792A57">
            <w:pPr>
              <w:pStyle w:val="Default"/>
              <w:jc w:val="both"/>
              <w:rPr>
                <w:rFonts w:ascii="Bookman Old Style" w:hAnsi="Bookman Old Style"/>
              </w:rPr>
            </w:pPr>
            <w:r w:rsidRPr="00382B5B">
              <w:rPr>
                <w:rFonts w:ascii="Bookman Old Style" w:hAnsi="Bookman Old Style"/>
              </w:rPr>
              <w:t>Nel caso di mancato rispetto del termine del 22 febbraio 2022 per l’individuazione degli interventi da parte delle Regioni, il Ministero dell’istruzione procede direttamente all’individuazione degli interventi, coerenti con le finalità del Piano nazionale di ripresa e resilienza, nell’ambito della programmazione triennale nazionale 2018-2020</w:t>
            </w:r>
            <w:r w:rsidR="005937BD">
              <w:rPr>
                <w:rFonts w:ascii="Bookman Old Style" w:hAnsi="Bookman Old Style"/>
              </w:rPr>
              <w:t>.</w:t>
            </w:r>
          </w:p>
        </w:tc>
      </w:tr>
    </w:tbl>
    <w:p w14:paraId="48CC296C" w14:textId="77777777" w:rsidR="004666F1" w:rsidRPr="00382B5B" w:rsidRDefault="004666F1" w:rsidP="004666F1">
      <w:pPr>
        <w:pStyle w:val="Default"/>
        <w:jc w:val="both"/>
        <w:rPr>
          <w:rFonts w:ascii="Bookman Old Style" w:hAnsi="Bookman Old Style"/>
        </w:rPr>
      </w:pPr>
    </w:p>
    <w:p w14:paraId="5B5DED9F" w14:textId="77777777" w:rsidR="004666F1" w:rsidRPr="00664F32" w:rsidRDefault="004666F1" w:rsidP="004666F1"/>
    <w:p w14:paraId="6A517933" w14:textId="77777777" w:rsidR="004666F1" w:rsidRDefault="004666F1" w:rsidP="00A849C6">
      <w:pPr>
        <w:jc w:val="center"/>
      </w:pPr>
    </w:p>
    <w:sectPr w:rsidR="004666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23B30"/>
    <w:multiLevelType w:val="hybridMultilevel"/>
    <w:tmpl w:val="815C3270"/>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 w15:restartNumberingAfterBreak="0">
    <w:nsid w:val="4E1C51F3"/>
    <w:multiLevelType w:val="hybridMultilevel"/>
    <w:tmpl w:val="D6F06CFE"/>
    <w:lvl w:ilvl="0" w:tplc="E152AEEA">
      <w:start w:val="600"/>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EC13CD6"/>
    <w:multiLevelType w:val="hybridMultilevel"/>
    <w:tmpl w:val="0ADE2DF8"/>
    <w:lvl w:ilvl="0" w:tplc="D8A23E8C">
      <w:numFmt w:val="bullet"/>
      <w:lvlText w:val="-"/>
      <w:lvlJc w:val="left"/>
      <w:pPr>
        <w:ind w:left="1396" w:hanging="360"/>
      </w:pPr>
      <w:rPr>
        <w:rFonts w:ascii="Bookman Old Style" w:eastAsiaTheme="minorHAnsi" w:hAnsi="Bookman Old Style" w:cs="Times New Roman" w:hint="default"/>
      </w:rPr>
    </w:lvl>
    <w:lvl w:ilvl="1" w:tplc="04100003" w:tentative="1">
      <w:start w:val="1"/>
      <w:numFmt w:val="bullet"/>
      <w:lvlText w:val="o"/>
      <w:lvlJc w:val="left"/>
      <w:pPr>
        <w:ind w:left="2116" w:hanging="360"/>
      </w:pPr>
      <w:rPr>
        <w:rFonts w:ascii="Courier New" w:hAnsi="Courier New" w:cs="Courier New" w:hint="default"/>
      </w:rPr>
    </w:lvl>
    <w:lvl w:ilvl="2" w:tplc="04100005" w:tentative="1">
      <w:start w:val="1"/>
      <w:numFmt w:val="bullet"/>
      <w:lvlText w:val=""/>
      <w:lvlJc w:val="left"/>
      <w:pPr>
        <w:ind w:left="2836" w:hanging="360"/>
      </w:pPr>
      <w:rPr>
        <w:rFonts w:ascii="Wingdings" w:hAnsi="Wingdings" w:hint="default"/>
      </w:rPr>
    </w:lvl>
    <w:lvl w:ilvl="3" w:tplc="04100001" w:tentative="1">
      <w:start w:val="1"/>
      <w:numFmt w:val="bullet"/>
      <w:lvlText w:val=""/>
      <w:lvlJc w:val="left"/>
      <w:pPr>
        <w:ind w:left="3556" w:hanging="360"/>
      </w:pPr>
      <w:rPr>
        <w:rFonts w:ascii="Symbol" w:hAnsi="Symbol" w:hint="default"/>
      </w:rPr>
    </w:lvl>
    <w:lvl w:ilvl="4" w:tplc="04100003" w:tentative="1">
      <w:start w:val="1"/>
      <w:numFmt w:val="bullet"/>
      <w:lvlText w:val="o"/>
      <w:lvlJc w:val="left"/>
      <w:pPr>
        <w:ind w:left="4276" w:hanging="360"/>
      </w:pPr>
      <w:rPr>
        <w:rFonts w:ascii="Courier New" w:hAnsi="Courier New" w:cs="Courier New" w:hint="default"/>
      </w:rPr>
    </w:lvl>
    <w:lvl w:ilvl="5" w:tplc="04100005" w:tentative="1">
      <w:start w:val="1"/>
      <w:numFmt w:val="bullet"/>
      <w:lvlText w:val=""/>
      <w:lvlJc w:val="left"/>
      <w:pPr>
        <w:ind w:left="4996" w:hanging="360"/>
      </w:pPr>
      <w:rPr>
        <w:rFonts w:ascii="Wingdings" w:hAnsi="Wingdings" w:hint="default"/>
      </w:rPr>
    </w:lvl>
    <w:lvl w:ilvl="6" w:tplc="04100001" w:tentative="1">
      <w:start w:val="1"/>
      <w:numFmt w:val="bullet"/>
      <w:lvlText w:val=""/>
      <w:lvlJc w:val="left"/>
      <w:pPr>
        <w:ind w:left="5716" w:hanging="360"/>
      </w:pPr>
      <w:rPr>
        <w:rFonts w:ascii="Symbol" w:hAnsi="Symbol" w:hint="default"/>
      </w:rPr>
    </w:lvl>
    <w:lvl w:ilvl="7" w:tplc="04100003" w:tentative="1">
      <w:start w:val="1"/>
      <w:numFmt w:val="bullet"/>
      <w:lvlText w:val="o"/>
      <w:lvlJc w:val="left"/>
      <w:pPr>
        <w:ind w:left="6436" w:hanging="360"/>
      </w:pPr>
      <w:rPr>
        <w:rFonts w:ascii="Courier New" w:hAnsi="Courier New" w:cs="Courier New" w:hint="default"/>
      </w:rPr>
    </w:lvl>
    <w:lvl w:ilvl="8" w:tplc="04100005" w:tentative="1">
      <w:start w:val="1"/>
      <w:numFmt w:val="bullet"/>
      <w:lvlText w:val=""/>
      <w:lvlJc w:val="left"/>
      <w:pPr>
        <w:ind w:left="7156"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9C6"/>
    <w:rsid w:val="00184E65"/>
    <w:rsid w:val="002D1C6D"/>
    <w:rsid w:val="003C72BB"/>
    <w:rsid w:val="004666F1"/>
    <w:rsid w:val="004908D7"/>
    <w:rsid w:val="004D6AF4"/>
    <w:rsid w:val="004F7D35"/>
    <w:rsid w:val="005252D4"/>
    <w:rsid w:val="00536B98"/>
    <w:rsid w:val="005937BD"/>
    <w:rsid w:val="005D0F15"/>
    <w:rsid w:val="005E0C33"/>
    <w:rsid w:val="00611264"/>
    <w:rsid w:val="00755F40"/>
    <w:rsid w:val="007D4584"/>
    <w:rsid w:val="007F0C2D"/>
    <w:rsid w:val="009F7488"/>
    <w:rsid w:val="00A32B94"/>
    <w:rsid w:val="00A75243"/>
    <w:rsid w:val="00A849C6"/>
    <w:rsid w:val="00B06954"/>
    <w:rsid w:val="00B621C3"/>
    <w:rsid w:val="00BF4A73"/>
    <w:rsid w:val="00C2244D"/>
    <w:rsid w:val="00C9703F"/>
    <w:rsid w:val="00D52B2A"/>
    <w:rsid w:val="00D677CA"/>
    <w:rsid w:val="00E54529"/>
    <w:rsid w:val="00EB3B03"/>
    <w:rsid w:val="00F86AB0"/>
    <w:rsid w:val="00F95643"/>
    <w:rsid w:val="00FB61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225E1"/>
  <w15:chartTrackingRefBased/>
  <w15:docId w15:val="{F4921C3E-1DC3-41FD-9305-9A78F323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Bookman Old Style" w:eastAsiaTheme="minorHAnsi" w:hAnsi="Bookman Old Style"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4666F1"/>
    <w:rPr>
      <w:color w:val="0000FF"/>
      <w:u w:val="single"/>
    </w:rPr>
  </w:style>
  <w:style w:type="paragraph" w:customStyle="1" w:styleId="Default">
    <w:name w:val="Default"/>
    <w:uiPriority w:val="99"/>
    <w:rsid w:val="004666F1"/>
    <w:pPr>
      <w:autoSpaceDE w:val="0"/>
      <w:autoSpaceDN w:val="0"/>
      <w:adjustRightInd w:val="0"/>
      <w:spacing w:after="0" w:line="240" w:lineRule="auto"/>
    </w:pPr>
    <w:rPr>
      <w:rFonts w:ascii="Times New Roman" w:hAnsi="Times New Roman" w:cs="Times New Roman"/>
      <w:color w:val="000000"/>
      <w:szCs w:val="24"/>
    </w:rPr>
  </w:style>
  <w:style w:type="table" w:styleId="Grigliatabella">
    <w:name w:val="Table Grid"/>
    <w:basedOn w:val="Tabellanormale"/>
    <w:uiPriority w:val="39"/>
    <w:rsid w:val="004666F1"/>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nrr.ediliziascolastica@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nrr.istruzione.it/avvisi/"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Pages>
  <Words>1196</Words>
  <Characters>6819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Rotoni</dc:creator>
  <cp:keywords/>
  <dc:description/>
  <cp:lastModifiedBy>Daniela Rotoni</cp:lastModifiedBy>
  <cp:revision>25</cp:revision>
  <cp:lastPrinted>2021-12-06T11:41:00Z</cp:lastPrinted>
  <dcterms:created xsi:type="dcterms:W3CDTF">2021-12-06T08:49:00Z</dcterms:created>
  <dcterms:modified xsi:type="dcterms:W3CDTF">2021-12-06T11:46:00Z</dcterms:modified>
</cp:coreProperties>
</file>